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DF383A" w14:textId="570E6EBD"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#1</w:t>
      </w:r>
      <w:r w:rsidR="009824F7">
        <w:rPr>
          <w:rFonts w:ascii="Arial" w:eastAsia="Arial Unicode MS" w:hAnsi="Arial" w:cs="Arial"/>
          <w:b/>
          <w:bCs/>
          <w:sz w:val="24"/>
        </w:rPr>
        <w:t>65</w:t>
      </w:r>
      <w:r>
        <w:rPr>
          <w:rFonts w:ascii="Arial" w:eastAsia="Arial Unicode MS" w:hAnsi="Arial" w:cs="Arial"/>
          <w:b/>
          <w:bCs/>
          <w:sz w:val="24"/>
        </w:rPr>
        <w:tab/>
      </w:r>
      <w:r w:rsidRPr="00B879C9">
        <w:rPr>
          <w:rFonts w:ascii="Arial" w:eastAsia="Arial Unicode MS" w:hAnsi="Arial" w:cs="Arial"/>
          <w:b/>
          <w:i/>
          <w:sz w:val="28"/>
        </w:rPr>
        <w:t>S2-2</w:t>
      </w:r>
      <w:r w:rsidR="009824F7">
        <w:rPr>
          <w:rFonts w:ascii="Arial" w:eastAsia="Arial Unicode MS" w:hAnsi="Arial" w:cs="Arial"/>
          <w:b/>
          <w:i/>
          <w:sz w:val="28"/>
        </w:rPr>
        <w:t>4</w:t>
      </w:r>
      <w:r w:rsidR="00296177">
        <w:rPr>
          <w:rFonts w:ascii="Arial" w:eastAsia="Arial Unicode MS" w:hAnsi="Arial" w:cs="Arial"/>
          <w:b/>
          <w:i/>
          <w:sz w:val="28"/>
        </w:rPr>
        <w:t>10444</w:t>
      </w:r>
    </w:p>
    <w:p w14:paraId="4272A802" w14:textId="78E2A0AA" w:rsidR="00BC3C6F" w:rsidRPr="003244C5" w:rsidRDefault="009824F7"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Hyderabad</w:t>
      </w:r>
      <w:r w:rsidR="009B0A97" w:rsidRPr="009B0A97">
        <w:rPr>
          <w:rFonts w:ascii="Arial" w:eastAsia="Arial Unicode MS" w:hAnsi="Arial" w:cs="Arial"/>
          <w:b/>
          <w:bCs/>
          <w:sz w:val="24"/>
        </w:rPr>
        <w:t>,</w:t>
      </w:r>
      <w:r>
        <w:rPr>
          <w:rFonts w:ascii="Arial" w:eastAsia="Arial Unicode MS" w:hAnsi="Arial" w:cs="Arial"/>
          <w:b/>
          <w:bCs/>
          <w:sz w:val="24"/>
        </w:rPr>
        <w:t xml:space="preserve"> I</w:t>
      </w:r>
      <w:r w:rsidR="00767C4B">
        <w:rPr>
          <w:rFonts w:ascii="Arial" w:eastAsia="Arial Unicode MS" w:hAnsi="Arial" w:cs="Arial"/>
          <w:b/>
          <w:bCs/>
          <w:sz w:val="24"/>
        </w:rPr>
        <w:t>ndia</w:t>
      </w:r>
      <w:r>
        <w:rPr>
          <w:rFonts w:ascii="Arial" w:eastAsia="Arial Unicode MS" w:hAnsi="Arial" w:cs="Arial"/>
          <w:b/>
          <w:bCs/>
          <w:sz w:val="24"/>
        </w:rPr>
        <w:t>,</w:t>
      </w:r>
      <w:r w:rsidR="009B0A97" w:rsidRPr="009B0A97">
        <w:rPr>
          <w:rFonts w:ascii="Arial" w:eastAsia="Arial Unicode MS" w:hAnsi="Arial" w:cs="Arial"/>
          <w:b/>
          <w:bCs/>
          <w:sz w:val="24"/>
        </w:rPr>
        <w:t xml:space="preserve"> 202</w:t>
      </w:r>
      <w:r>
        <w:rPr>
          <w:rFonts w:ascii="Arial" w:eastAsia="Arial Unicode MS" w:hAnsi="Arial" w:cs="Arial"/>
          <w:b/>
          <w:bCs/>
          <w:sz w:val="24"/>
        </w:rPr>
        <w:t>4</w:t>
      </w:r>
      <w:r w:rsidR="009B0A97" w:rsidRPr="00AD06CC">
        <w:rPr>
          <w:rFonts w:ascii="Cambria Math" w:eastAsia="Arial Unicode MS" w:hAnsi="Cambria Math" w:cs="Cambria Math"/>
          <w:b/>
          <w:bCs/>
          <w:sz w:val="24"/>
        </w:rPr>
        <w:t>‑</w:t>
      </w:r>
      <w:r w:rsidR="00996F69" w:rsidRPr="00AD06CC">
        <w:rPr>
          <w:rFonts w:ascii="Arial" w:eastAsia="Arial Unicode MS" w:hAnsi="Arial" w:cs="Arial"/>
          <w:b/>
          <w:bCs/>
          <w:sz w:val="24"/>
        </w:rPr>
        <w:t>1</w:t>
      </w:r>
      <w:r>
        <w:rPr>
          <w:rFonts w:ascii="Arial" w:eastAsia="Arial Unicode MS" w:hAnsi="Arial" w:cs="Arial"/>
          <w:b/>
          <w:bCs/>
          <w:sz w:val="24"/>
        </w:rPr>
        <w:t>0</w:t>
      </w:r>
      <w:r w:rsidR="00B66AD7">
        <w:rPr>
          <w:rFonts w:ascii="Arial" w:eastAsia="Arial Unicode MS" w:hAnsi="Arial" w:cs="Arial"/>
          <w:b/>
          <w:bCs/>
          <w:sz w:val="24"/>
        </w:rPr>
        <w:t>-</w:t>
      </w:r>
      <w:r w:rsidR="00FA5EBD">
        <w:rPr>
          <w:rFonts w:ascii="Arial" w:eastAsia="Arial Unicode MS" w:hAnsi="Arial" w:cs="Arial"/>
          <w:b/>
          <w:bCs/>
          <w:sz w:val="24"/>
        </w:rPr>
        <w:t>1</w:t>
      </w:r>
      <w:r w:rsidR="00A70300">
        <w:rPr>
          <w:rFonts w:ascii="Arial" w:eastAsia="Arial Unicode MS" w:hAnsi="Arial" w:cs="Arial"/>
          <w:b/>
          <w:bCs/>
          <w:sz w:val="24"/>
        </w:rPr>
        <w:t>4</w:t>
      </w:r>
      <w:r w:rsidR="00A956B7">
        <w:rPr>
          <w:rFonts w:ascii="Arial" w:eastAsia="Arial Unicode MS" w:hAnsi="Arial" w:cs="Arial"/>
          <w:b/>
          <w:bCs/>
          <w:sz w:val="24"/>
        </w:rPr>
        <w:t xml:space="preserve"> </w:t>
      </w:r>
      <w:r w:rsidR="009B0A97" w:rsidRPr="009B0A97">
        <w:rPr>
          <w:rFonts w:ascii="Arial" w:eastAsia="Arial Unicode MS" w:hAnsi="Arial" w:cs="Arial"/>
          <w:b/>
          <w:bCs/>
          <w:sz w:val="24"/>
        </w:rPr>
        <w:t>- 202</w:t>
      </w:r>
      <w:r>
        <w:rPr>
          <w:rFonts w:ascii="Arial" w:eastAsia="Arial Unicode MS" w:hAnsi="Arial" w:cs="Arial"/>
          <w:b/>
          <w:bCs/>
          <w:sz w:val="24"/>
        </w:rPr>
        <w:t>4</w:t>
      </w:r>
      <w:r w:rsidR="009B0A97" w:rsidRPr="00AD06CC">
        <w:rPr>
          <w:rFonts w:ascii="Cambria Math" w:eastAsia="Arial Unicode MS" w:hAnsi="Cambria Math" w:cs="Cambria Math"/>
          <w:b/>
          <w:bCs/>
          <w:sz w:val="24"/>
        </w:rPr>
        <w:t>‑</w:t>
      </w:r>
      <w:r w:rsidR="00FA5EBD" w:rsidRPr="00AD06CC">
        <w:rPr>
          <w:rFonts w:ascii="Arial" w:eastAsia="Arial Unicode MS" w:hAnsi="Arial" w:cs="Arial"/>
          <w:b/>
          <w:bCs/>
          <w:sz w:val="24"/>
        </w:rPr>
        <w:t>1</w:t>
      </w:r>
      <w:r>
        <w:rPr>
          <w:rFonts w:ascii="Arial" w:eastAsia="Arial Unicode MS" w:hAnsi="Arial" w:cs="Arial"/>
          <w:b/>
          <w:bCs/>
          <w:sz w:val="24"/>
        </w:rPr>
        <w:t>0</w:t>
      </w:r>
      <w:r w:rsidR="00B66AD7">
        <w:rPr>
          <w:rFonts w:ascii="Arial" w:eastAsia="Arial Unicode MS" w:hAnsi="Arial" w:cs="Arial"/>
          <w:b/>
          <w:bCs/>
          <w:sz w:val="24"/>
        </w:rPr>
        <w:t>-</w:t>
      </w:r>
      <w:r w:rsidR="00FA5EBD">
        <w:rPr>
          <w:rFonts w:ascii="Arial" w:eastAsia="Arial Unicode MS" w:hAnsi="Arial" w:cs="Arial"/>
          <w:b/>
          <w:bCs/>
          <w:sz w:val="24"/>
        </w:rPr>
        <w:t>1</w:t>
      </w:r>
      <w:r w:rsidR="00A70300">
        <w:rPr>
          <w:rFonts w:ascii="Arial" w:eastAsia="Arial Unicode MS" w:hAnsi="Arial" w:cs="Arial"/>
          <w:b/>
          <w:bCs/>
          <w:sz w:val="24"/>
        </w:rPr>
        <w:t>8</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7884AF2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707E6">
        <w:rPr>
          <w:rFonts w:ascii="Arial" w:hAnsi="Arial" w:cs="Arial"/>
          <w:b/>
        </w:rPr>
        <w:t>Apple</w:t>
      </w:r>
    </w:p>
    <w:p w14:paraId="3E28018A" w14:textId="4FCD3B5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C54DB">
        <w:rPr>
          <w:rFonts w:ascii="Arial" w:hAnsi="Arial" w:cs="Arial"/>
          <w:b/>
        </w:rPr>
        <w:t>UE Data Collection</w:t>
      </w:r>
      <w:r w:rsidR="00F628A2">
        <w:rPr>
          <w:rFonts w:ascii="Arial" w:hAnsi="Arial" w:cs="Arial"/>
          <w:b/>
        </w:rPr>
        <w:t xml:space="preserve"> in 5GC</w:t>
      </w:r>
      <w:r w:rsidR="00EE5BB1">
        <w:rPr>
          <w:rFonts w:ascii="Arial" w:hAnsi="Arial" w:cs="Arial"/>
          <w:b/>
        </w:rPr>
        <w:t xml:space="preserve"> for RAN AIML </w:t>
      </w:r>
      <w:r w:rsidR="00296177">
        <w:rPr>
          <w:rFonts w:ascii="Arial" w:hAnsi="Arial" w:cs="Arial"/>
          <w:b/>
        </w:rPr>
        <w:t>operation</w:t>
      </w:r>
      <w:r w:rsidR="00AC54DB">
        <w:rPr>
          <w:rFonts w:ascii="Arial" w:hAnsi="Arial" w:cs="Arial"/>
          <w:b/>
        </w:rPr>
        <w:t xml:space="preserve"> </w:t>
      </w:r>
    </w:p>
    <w:p w14:paraId="1FCFD491" w14:textId="6B80118F"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696D6C">
        <w:rPr>
          <w:rFonts w:ascii="Arial" w:hAnsi="Arial" w:cs="Arial"/>
          <w:b/>
        </w:rPr>
        <w:t>Discussion</w:t>
      </w:r>
    </w:p>
    <w:p w14:paraId="031A7275" w14:textId="640CA63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824F7">
        <w:rPr>
          <w:rFonts w:ascii="Arial" w:hAnsi="Arial" w:cs="Arial"/>
          <w:b/>
        </w:rPr>
        <w:t>1</w:t>
      </w:r>
      <w:r w:rsidR="00606FF1">
        <w:rPr>
          <w:rFonts w:ascii="Arial" w:hAnsi="Arial" w:cs="Arial"/>
          <w:b/>
        </w:rPr>
        <w:t>9.</w:t>
      </w:r>
      <w:r w:rsidR="009824F7">
        <w:rPr>
          <w:rFonts w:ascii="Arial" w:hAnsi="Arial" w:cs="Arial"/>
          <w:b/>
        </w:rPr>
        <w:t>15</w:t>
      </w:r>
      <w:r w:rsidR="00EC6CB3">
        <w:rPr>
          <w:rFonts w:ascii="Arial" w:hAnsi="Arial" w:cs="Arial"/>
          <w:b/>
        </w:rPr>
        <w:t>.</w:t>
      </w:r>
      <w:r w:rsidR="009824F7">
        <w:rPr>
          <w:rFonts w:ascii="Arial" w:hAnsi="Arial" w:cs="Arial"/>
          <w:b/>
        </w:rPr>
        <w:t>2</w:t>
      </w:r>
    </w:p>
    <w:p w14:paraId="28A59353" w14:textId="6065AE3F"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AC54DB">
        <w:rPr>
          <w:rFonts w:ascii="Arial" w:hAnsi="Arial" w:cs="Arial"/>
          <w:b/>
          <w:bCs/>
          <w:color w:val="auto"/>
          <w:kern w:val="24"/>
          <w:sz w:val="18"/>
          <w:szCs w:val="18"/>
        </w:rPr>
        <w:t>A</w:t>
      </w:r>
      <w:r w:rsidR="00696D6C">
        <w:rPr>
          <w:rFonts w:ascii="Arial" w:hAnsi="Arial" w:cs="Arial"/>
          <w:b/>
          <w:bCs/>
          <w:color w:val="auto"/>
          <w:kern w:val="24"/>
          <w:sz w:val="18"/>
          <w:szCs w:val="18"/>
        </w:rPr>
        <w:t>IML</w:t>
      </w:r>
      <w:r w:rsidR="009824F7">
        <w:rPr>
          <w:rFonts w:ascii="Arial" w:hAnsi="Arial" w:cs="Arial"/>
          <w:b/>
          <w:bCs/>
          <w:color w:val="auto"/>
          <w:kern w:val="24"/>
          <w:sz w:val="18"/>
          <w:szCs w:val="18"/>
        </w:rPr>
        <w:t>_CN</w:t>
      </w:r>
      <w:r w:rsidR="00462B3D" w:rsidRPr="00CA76A1">
        <w:rPr>
          <w:rFonts w:ascii="Arial" w:hAnsi="Arial" w:cs="Arial"/>
          <w:b/>
        </w:rPr>
        <w:t xml:space="preserve"> / Rel-1</w:t>
      </w:r>
      <w:r w:rsidR="009824F7">
        <w:rPr>
          <w:rFonts w:ascii="Arial" w:hAnsi="Arial" w:cs="Arial"/>
          <w:b/>
        </w:rPr>
        <w:t>9</w:t>
      </w:r>
    </w:p>
    <w:p w14:paraId="7311A00F" w14:textId="5FB1DB21"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F628A2">
        <w:rPr>
          <w:rFonts w:ascii="Arial" w:hAnsi="Arial" w:cs="Arial"/>
          <w:i/>
        </w:rPr>
        <w:t xml:space="preserve">This discussion paper </w:t>
      </w:r>
      <w:r w:rsidR="00BE49A1">
        <w:rPr>
          <w:rFonts w:ascii="Arial" w:hAnsi="Arial" w:cs="Arial"/>
          <w:i/>
        </w:rPr>
        <w:t>analyses</w:t>
      </w:r>
      <w:r w:rsidR="00F628A2">
        <w:rPr>
          <w:rFonts w:ascii="Arial" w:hAnsi="Arial" w:cs="Arial"/>
          <w:i/>
        </w:rPr>
        <w:t xml:space="preserve"> the user data privacy and user consent aspects for UE data collection in 5GC</w:t>
      </w:r>
      <w:r w:rsidR="00A70300">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52E383BE" w14:textId="25AC6B0A" w:rsidR="004B2961" w:rsidRDefault="00B91EAB" w:rsidP="00AC54DB">
      <w:pPr>
        <w:rPr>
          <w:bCs/>
        </w:rPr>
      </w:pPr>
      <w:r>
        <w:rPr>
          <w:bCs/>
        </w:rPr>
        <w:t xml:space="preserve">The LS S2-2409600 from RAN </w:t>
      </w:r>
      <w:r w:rsidR="00B3587C">
        <w:rPr>
          <w:bCs/>
        </w:rPr>
        <w:t xml:space="preserve">asks SA2 to provide views on Solution 1b, Solution 2 and Solution 3. </w:t>
      </w:r>
    </w:p>
    <w:p w14:paraId="101CA259" w14:textId="16C238F2" w:rsidR="004B2961" w:rsidRDefault="00BE49A1" w:rsidP="00AC54DB">
      <w:pPr>
        <w:rPr>
          <w:bCs/>
        </w:rPr>
      </w:pPr>
      <w:r>
        <w:rPr>
          <w:bCs/>
        </w:rPr>
        <w:t xml:space="preserve">In the LS, RAN has highlighted their </w:t>
      </w:r>
      <w:r w:rsidR="00CD417E">
        <w:rPr>
          <w:bCs/>
        </w:rPr>
        <w:t xml:space="preserve">agreements: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B2961" w:rsidRPr="00DC0D67" w14:paraId="57C9C2D2" w14:textId="77777777" w:rsidTr="004B2961">
        <w:tc>
          <w:tcPr>
            <w:tcW w:w="9628" w:type="dxa"/>
            <w:shd w:val="clear" w:color="auto" w:fill="auto"/>
          </w:tcPr>
          <w:p w14:paraId="4DEA7ACC" w14:textId="77777777" w:rsidR="004B2961" w:rsidRDefault="004B2961" w:rsidP="00E51714">
            <w:pPr>
              <w:rPr>
                <w:rStyle w:val="Strong"/>
                <w:rFonts w:eastAsia="SimSun"/>
              </w:rPr>
            </w:pPr>
            <w:bookmarkStart w:id="0" w:name="_Hlk176821319"/>
            <w:r>
              <w:rPr>
                <w:rStyle w:val="Strong"/>
                <w:rFonts w:eastAsia="SimSun"/>
                <w:b w:val="0"/>
                <w:bCs w:val="0"/>
              </w:rPr>
              <w:t>RAN has agreed to the following</w:t>
            </w:r>
            <w:r>
              <w:rPr>
                <w:rStyle w:val="Strong"/>
                <w:rFonts w:eastAsia="SimSun"/>
              </w:rPr>
              <w:t xml:space="preserve"> requirements for data collection for UE sided model training for standardized solution (if standardized) (i.e. Option 1b, 2, 3).  Option 1a is not precluded.  </w:t>
            </w:r>
          </w:p>
          <w:p w14:paraId="3775B123" w14:textId="77777777" w:rsidR="004B2961" w:rsidRDefault="004B2961" w:rsidP="004B2961">
            <w:pPr>
              <w:pStyle w:val="ListParagraph"/>
              <w:numPr>
                <w:ilvl w:val="2"/>
                <w:numId w:val="41"/>
              </w:numPr>
              <w:overflowPunct/>
              <w:autoSpaceDE/>
              <w:autoSpaceDN/>
              <w:adjustRightInd/>
              <w:spacing w:after="160" w:line="259" w:lineRule="auto"/>
              <w:textAlignment w:val="auto"/>
              <w:rPr>
                <w:rFonts w:eastAsia="SimSun"/>
                <w:bCs/>
              </w:rPr>
            </w:pPr>
            <w:r>
              <w:rPr>
                <w:rFonts w:eastAsia="SimSun"/>
                <w:bCs/>
              </w:rPr>
              <w:t xml:space="preserve">The data collected is secured and data integrity and confidentiality for that data is </w:t>
            </w:r>
            <w:r>
              <w:rPr>
                <w:rFonts w:eastAsia="SimSun"/>
              </w:rPr>
              <w:t>ensured</w:t>
            </w:r>
            <w:r>
              <w:rPr>
                <w:rFonts w:eastAsia="SimSun"/>
                <w:bCs/>
              </w:rPr>
              <w:t>.</w:t>
            </w:r>
          </w:p>
          <w:p w14:paraId="39195B11" w14:textId="77777777" w:rsidR="004B2961" w:rsidRPr="004B2961" w:rsidRDefault="004B2961" w:rsidP="004B2961">
            <w:pPr>
              <w:pStyle w:val="ListParagraph"/>
              <w:numPr>
                <w:ilvl w:val="2"/>
                <w:numId w:val="41"/>
              </w:numPr>
              <w:overflowPunct/>
              <w:autoSpaceDE/>
              <w:autoSpaceDN/>
              <w:adjustRightInd/>
              <w:spacing w:after="160" w:line="259" w:lineRule="auto"/>
              <w:textAlignment w:val="auto"/>
              <w:rPr>
                <w:rFonts w:eastAsia="SimSun"/>
                <w:bCs/>
                <w:highlight w:val="yellow"/>
              </w:rPr>
            </w:pPr>
            <w:r w:rsidRPr="004B2961">
              <w:rPr>
                <w:rFonts w:eastAsia="SimSun"/>
                <w:bCs/>
                <w:highlight w:val="yellow"/>
              </w:rPr>
              <w:t xml:space="preserve">User </w:t>
            </w:r>
            <w:proofErr w:type="gramStart"/>
            <w:r w:rsidRPr="004B2961">
              <w:rPr>
                <w:rFonts w:eastAsia="SimSun"/>
                <w:bCs/>
                <w:highlight w:val="yellow"/>
              </w:rPr>
              <w:t>data  privacy</w:t>
            </w:r>
            <w:proofErr w:type="gramEnd"/>
            <w:r w:rsidRPr="004B2961">
              <w:rPr>
                <w:rFonts w:eastAsia="SimSun"/>
                <w:bCs/>
                <w:highlight w:val="yellow"/>
              </w:rPr>
              <w:t>, anonymity and user consent is respected.</w:t>
            </w:r>
          </w:p>
          <w:p w14:paraId="1CC75C5E" w14:textId="77777777" w:rsidR="004B2961" w:rsidRDefault="004B2961" w:rsidP="004B2961">
            <w:pPr>
              <w:pStyle w:val="ListParagraph"/>
              <w:numPr>
                <w:ilvl w:val="2"/>
                <w:numId w:val="41"/>
              </w:numPr>
              <w:overflowPunct/>
              <w:autoSpaceDE/>
              <w:autoSpaceDN/>
              <w:adjustRightInd/>
              <w:spacing w:after="160" w:line="259" w:lineRule="auto"/>
              <w:textAlignment w:val="auto"/>
              <w:rPr>
                <w:rStyle w:val="normaltextrun"/>
                <w:rFonts w:eastAsia="SimSun"/>
                <w:bCs/>
              </w:rPr>
            </w:pPr>
            <w:r>
              <w:rPr>
                <w:rStyle w:val="normaltextrun"/>
                <w:rFonts w:eastAsia="SimSun"/>
                <w:bCs/>
              </w:rPr>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272F36AD" w14:textId="77777777" w:rsidR="004B2961" w:rsidRPr="004B2961" w:rsidRDefault="004B2961" w:rsidP="004B2961">
            <w:pPr>
              <w:pStyle w:val="ListParagraph"/>
              <w:numPr>
                <w:ilvl w:val="2"/>
                <w:numId w:val="41"/>
              </w:numPr>
              <w:overflowPunct/>
              <w:autoSpaceDE/>
              <w:autoSpaceDN/>
              <w:adjustRightInd/>
              <w:spacing w:after="160" w:line="259" w:lineRule="auto"/>
              <w:textAlignment w:val="auto"/>
              <w:rPr>
                <w:rFonts w:eastAsia="SimSun"/>
                <w:bCs/>
                <w:highlight w:val="yellow"/>
              </w:rPr>
            </w:pPr>
            <w:r w:rsidRPr="004B2961">
              <w:rPr>
                <w:rFonts w:eastAsia="SimSun"/>
                <w:bCs/>
                <w:highlight w:val="yellow"/>
              </w:rPr>
              <w:t xml:space="preserve">MNO has full visibility for standardized data.  </w:t>
            </w:r>
          </w:p>
          <w:p w14:paraId="59514AFC" w14:textId="77777777" w:rsidR="004B2961" w:rsidRDefault="004B2961" w:rsidP="004B2961">
            <w:pPr>
              <w:pStyle w:val="ListParagraph"/>
              <w:numPr>
                <w:ilvl w:val="2"/>
                <w:numId w:val="41"/>
              </w:numPr>
              <w:overflowPunct/>
              <w:autoSpaceDE/>
              <w:autoSpaceDN/>
              <w:adjustRightInd/>
              <w:spacing w:after="160" w:line="259" w:lineRule="auto"/>
              <w:textAlignment w:val="auto"/>
              <w:rPr>
                <w:rFonts w:eastAsia="SimSun"/>
                <w:bCs/>
              </w:rPr>
            </w:pPr>
            <w:r>
              <w:rPr>
                <w:rFonts w:eastAsia="SimSun"/>
                <w:bCs/>
              </w:rPr>
              <w:t>The design is futureproof and extendable.</w:t>
            </w:r>
          </w:p>
          <w:p w14:paraId="1EB691F8" w14:textId="77777777" w:rsidR="004B2961" w:rsidRDefault="004B2961" w:rsidP="00E51714">
            <w:pPr>
              <w:ind w:left="720"/>
              <w:rPr>
                <w:rFonts w:eastAsia="SimSun"/>
                <w:bCs/>
              </w:rPr>
            </w:pPr>
            <w:r>
              <w:rPr>
                <w:rFonts w:eastAsia="SimSun"/>
                <w:bCs/>
              </w:rPr>
              <w:t xml:space="preserve">FFS/study if and how to handle non-standardized data (i.e. partial visibility).  </w:t>
            </w:r>
          </w:p>
          <w:p w14:paraId="5D0AAA90" w14:textId="77777777" w:rsidR="004B2961" w:rsidRDefault="004B2961" w:rsidP="00E51714">
            <w:pPr>
              <w:ind w:left="720"/>
              <w:rPr>
                <w:rFonts w:eastAsia="SimSun"/>
                <w:bCs/>
              </w:rPr>
            </w:pPr>
            <w:r>
              <w:rPr>
                <w:rFonts w:eastAsia="SimSun"/>
              </w:rPr>
              <w:t>FFS controllability on data collection</w:t>
            </w:r>
          </w:p>
          <w:p w14:paraId="7D3E3D7C" w14:textId="77777777" w:rsidR="004B2961" w:rsidRDefault="004B2961" w:rsidP="00E51714">
            <w:pPr>
              <w:snapToGrid w:val="0"/>
              <w:spacing w:beforeLines="50" w:before="120" w:afterLines="50" w:after="120"/>
              <w:rPr>
                <w:rFonts w:eastAsia="SimSun"/>
              </w:rPr>
            </w:pPr>
            <w:r>
              <w:rPr>
                <w:rFonts w:eastAsia="SimSun"/>
                <w:bCs/>
              </w:rPr>
              <w:t>S</w:t>
            </w:r>
            <w:r>
              <w:rPr>
                <w:rFonts w:eastAsia="SimSun"/>
              </w:rPr>
              <w:t xml:space="preserve">tandardized </w:t>
            </w:r>
            <w:r>
              <w:rPr>
                <w:rFonts w:eastAsia="SimSun"/>
                <w:bCs/>
              </w:rPr>
              <w:t>Solutions should follow the principle of aiming to minimize air interface overhead and impact to NW operation</w:t>
            </w:r>
            <w:bookmarkEnd w:id="0"/>
          </w:p>
        </w:tc>
      </w:tr>
    </w:tbl>
    <w:p w14:paraId="1F5F4696" w14:textId="77777777" w:rsidR="00B72DF6" w:rsidRDefault="00B72DF6" w:rsidP="00AC54DB">
      <w:pPr>
        <w:rPr>
          <w:bCs/>
        </w:rPr>
      </w:pPr>
    </w:p>
    <w:p w14:paraId="5A28F69E" w14:textId="34075EAE" w:rsidR="004B2961" w:rsidRDefault="004B2961" w:rsidP="004B2961">
      <w:pPr>
        <w:rPr>
          <w:bCs/>
        </w:rPr>
      </w:pPr>
      <w:r>
        <w:rPr>
          <w:bCs/>
        </w:rPr>
        <w:t>This discussion paper analyses the definition of standardized data and system architecture aspects from user consent and privacy considerations</w:t>
      </w:r>
      <w:r w:rsidR="00296177">
        <w:rPr>
          <w:bCs/>
        </w:rPr>
        <w:t xml:space="preserve"> and define</w:t>
      </w:r>
      <w:r w:rsidR="00B22AAE">
        <w:rPr>
          <w:bCs/>
        </w:rPr>
        <w:t>s</w:t>
      </w:r>
      <w:r w:rsidR="00296177">
        <w:rPr>
          <w:bCs/>
        </w:rPr>
        <w:t xml:space="preserve"> architecture principles</w:t>
      </w:r>
      <w:r>
        <w:rPr>
          <w:bCs/>
        </w:rPr>
        <w:t xml:space="preserve">. </w:t>
      </w:r>
    </w:p>
    <w:p w14:paraId="2C7F6B5F" w14:textId="516FE430" w:rsidR="004B2961" w:rsidRPr="00B0552A" w:rsidRDefault="007A353B" w:rsidP="00F628A2">
      <w:pPr>
        <w:pStyle w:val="Heading2"/>
      </w:pPr>
      <w:r>
        <w:t xml:space="preserve">1.1 </w:t>
      </w:r>
      <w:r w:rsidR="004B2961" w:rsidRPr="00B0552A">
        <w:t xml:space="preserve">Definition of standardized data for UE side model training  </w:t>
      </w:r>
    </w:p>
    <w:p w14:paraId="04E31415" w14:textId="42DFE021" w:rsidR="00EE5BB1" w:rsidRDefault="00B22AAE" w:rsidP="004B2961">
      <w:pPr>
        <w:rPr>
          <w:bCs/>
        </w:rPr>
      </w:pPr>
      <w:r>
        <w:rPr>
          <w:bCs/>
        </w:rPr>
        <w:t>The primary requirement</w:t>
      </w:r>
      <w:r w:rsidR="00EE5BB1">
        <w:rPr>
          <w:bCs/>
        </w:rPr>
        <w:t xml:space="preserve"> </w:t>
      </w:r>
      <w:r>
        <w:rPr>
          <w:bCs/>
        </w:rPr>
        <w:t>for defining</w:t>
      </w:r>
      <w:r w:rsidR="00EE5BB1">
        <w:rPr>
          <w:bCs/>
        </w:rPr>
        <w:t xml:space="preserve"> </w:t>
      </w:r>
      <w:r>
        <w:rPr>
          <w:bCs/>
        </w:rPr>
        <w:t>“</w:t>
      </w:r>
      <w:r w:rsidR="00EE5BB1" w:rsidRPr="00EE5BB1">
        <w:rPr>
          <w:bCs/>
          <w:highlight w:val="yellow"/>
        </w:rPr>
        <w:t>full visibility for standardized data</w:t>
      </w:r>
      <w:r>
        <w:rPr>
          <w:bCs/>
        </w:rPr>
        <w:t xml:space="preserve">” is to </w:t>
      </w:r>
      <w:r w:rsidR="00CC67E6">
        <w:rPr>
          <w:bCs/>
        </w:rPr>
        <w:t>define</w:t>
      </w:r>
      <w:r>
        <w:rPr>
          <w:bCs/>
        </w:rPr>
        <w:t xml:space="preserve"> </w:t>
      </w:r>
      <w:r w:rsidR="00EE5BB1">
        <w:rPr>
          <w:bCs/>
        </w:rPr>
        <w:t xml:space="preserve">what constitutes standardized data.  </w:t>
      </w:r>
    </w:p>
    <w:p w14:paraId="2CED04D1" w14:textId="002A1DA0" w:rsidR="00EE5BB1" w:rsidRDefault="00B0552A" w:rsidP="004B2961">
      <w:pPr>
        <w:rPr>
          <w:bCs/>
        </w:rPr>
      </w:pPr>
      <w:r>
        <w:rPr>
          <w:bCs/>
        </w:rPr>
        <w:t>T</w:t>
      </w:r>
      <w:r w:rsidR="004B2961">
        <w:rPr>
          <w:bCs/>
        </w:rPr>
        <w:t xml:space="preserve">he data </w:t>
      </w:r>
      <w:r>
        <w:rPr>
          <w:bCs/>
        </w:rPr>
        <w:t xml:space="preserve">relevant </w:t>
      </w:r>
      <w:r w:rsidR="004B2961">
        <w:rPr>
          <w:bCs/>
        </w:rPr>
        <w:t>for a UE side model training</w:t>
      </w:r>
      <w:r w:rsidR="00EE5BB1">
        <w:rPr>
          <w:bCs/>
        </w:rPr>
        <w:t xml:space="preserve"> for RAN AIML operation</w:t>
      </w:r>
      <w:r w:rsidR="004B2961">
        <w:rPr>
          <w:bCs/>
        </w:rPr>
        <w:t xml:space="preserve"> </w:t>
      </w:r>
      <w:r w:rsidR="00903909">
        <w:rPr>
          <w:bCs/>
        </w:rPr>
        <w:t xml:space="preserve">vary </w:t>
      </w:r>
      <w:r w:rsidR="004B2961">
        <w:rPr>
          <w:bCs/>
        </w:rPr>
        <w:t>depend</w:t>
      </w:r>
      <w:r w:rsidR="00903909">
        <w:rPr>
          <w:bCs/>
        </w:rPr>
        <w:t>ing</w:t>
      </w:r>
      <w:r w:rsidR="004B2961">
        <w:rPr>
          <w:bCs/>
        </w:rPr>
        <w:t xml:space="preserve"> on UE implementation</w:t>
      </w:r>
      <w:r w:rsidR="00903909">
        <w:rPr>
          <w:bCs/>
        </w:rPr>
        <w:t xml:space="preserve"> and the machine learning models</w:t>
      </w:r>
      <w:r w:rsidR="004B2961">
        <w:rPr>
          <w:bCs/>
        </w:rPr>
        <w:t>.</w:t>
      </w:r>
      <w:r w:rsidR="00903909">
        <w:rPr>
          <w:bCs/>
        </w:rPr>
        <w:t xml:space="preserve"> The data varies according to the </w:t>
      </w:r>
      <w:r w:rsidR="00EE5BB1">
        <w:rPr>
          <w:bCs/>
        </w:rPr>
        <w:t>machine</w:t>
      </w:r>
      <w:r w:rsidR="00903909">
        <w:rPr>
          <w:bCs/>
        </w:rPr>
        <w:t xml:space="preserve"> learning operation </w:t>
      </w:r>
      <w:r w:rsidR="00EE5BB1">
        <w:rPr>
          <w:bCs/>
        </w:rPr>
        <w:t>also</w:t>
      </w:r>
      <w:r w:rsidR="00903909">
        <w:rPr>
          <w:bCs/>
        </w:rPr>
        <w:t xml:space="preserve"> but </w:t>
      </w:r>
      <w:r w:rsidR="00EE5BB1">
        <w:rPr>
          <w:bCs/>
        </w:rPr>
        <w:t xml:space="preserve">broadly they may be of two types. </w:t>
      </w:r>
      <w:r w:rsidR="00903909">
        <w:rPr>
          <w:bCs/>
        </w:rPr>
        <w:t xml:space="preserve">The primary type of data </w:t>
      </w:r>
      <w:r w:rsidR="00EE5BB1">
        <w:rPr>
          <w:bCs/>
        </w:rPr>
        <w:t>are</w:t>
      </w:r>
      <w:r w:rsidR="00903909">
        <w:rPr>
          <w:bCs/>
        </w:rPr>
        <w:t xml:space="preserve"> the measurement results UE</w:t>
      </w:r>
      <w:r w:rsidR="00EE5BB1">
        <w:rPr>
          <w:bCs/>
        </w:rPr>
        <w:t xml:space="preserve"> obtains as part of executing some measurements on radio interface. This measurement results could be from measurement configured by the network or based on internal design. </w:t>
      </w:r>
    </w:p>
    <w:p w14:paraId="37771E11" w14:textId="1BE68A23" w:rsidR="00EE5BB1" w:rsidRDefault="00EE5BB1" w:rsidP="004B2961">
      <w:pPr>
        <w:rPr>
          <w:bCs/>
        </w:rPr>
      </w:pPr>
      <w:r>
        <w:rPr>
          <w:bCs/>
        </w:rPr>
        <w:lastRenderedPageBreak/>
        <w:t>The other type of data may be related to UE internal states and parameters. This type of data</w:t>
      </w:r>
      <w:r w:rsidR="00903909">
        <w:rPr>
          <w:bCs/>
        </w:rPr>
        <w:t xml:space="preserve"> may not be relevant for a third party other than the UE generating the data, and the entity that manages the training. There is no need to have a </w:t>
      </w:r>
      <w:r w:rsidR="000E72C2">
        <w:rPr>
          <w:bCs/>
        </w:rPr>
        <w:t>standardized</w:t>
      </w:r>
      <w:r w:rsidR="00903909">
        <w:rPr>
          <w:bCs/>
        </w:rPr>
        <w:t xml:space="preserve"> definition or visibility for this type of data. </w:t>
      </w:r>
    </w:p>
    <w:p w14:paraId="3EBA9AE8" w14:textId="0411C26C" w:rsidR="00B0552A" w:rsidRDefault="00EE5BB1" w:rsidP="004B2961">
      <w:pPr>
        <w:rPr>
          <w:bCs/>
        </w:rPr>
      </w:pPr>
      <w:r>
        <w:rPr>
          <w:bCs/>
        </w:rPr>
        <w:t>Standardized solution</w:t>
      </w:r>
      <w:r w:rsidR="00B0552A">
        <w:rPr>
          <w:bCs/>
        </w:rPr>
        <w:t xml:space="preserve"> </w:t>
      </w:r>
      <w:r>
        <w:rPr>
          <w:bCs/>
        </w:rPr>
        <w:t>s</w:t>
      </w:r>
      <w:r w:rsidR="00B0552A">
        <w:rPr>
          <w:bCs/>
        </w:rPr>
        <w:t xml:space="preserve">hould </w:t>
      </w:r>
      <w:r>
        <w:rPr>
          <w:bCs/>
        </w:rPr>
        <w:t>address</w:t>
      </w:r>
      <w:r w:rsidR="00B0552A">
        <w:rPr>
          <w:bCs/>
        </w:rPr>
        <w:t xml:space="preserve"> the</w:t>
      </w:r>
      <w:r>
        <w:rPr>
          <w:bCs/>
        </w:rPr>
        <w:t xml:space="preserve"> visibility of </w:t>
      </w:r>
      <w:r w:rsidR="00B0552A">
        <w:rPr>
          <w:bCs/>
        </w:rPr>
        <w:t xml:space="preserve">measurement results collected </w:t>
      </w:r>
      <w:r w:rsidR="00946822">
        <w:rPr>
          <w:bCs/>
        </w:rPr>
        <w:t xml:space="preserve">by </w:t>
      </w:r>
      <w:r w:rsidR="00B0552A">
        <w:rPr>
          <w:bCs/>
        </w:rPr>
        <w:t>the UE</w:t>
      </w:r>
      <w:r w:rsidR="00946822">
        <w:rPr>
          <w:bCs/>
        </w:rPr>
        <w:t xml:space="preserve"> according to a measurement configuration provided by the network</w:t>
      </w:r>
      <w:r w:rsidR="00B0552A">
        <w:rPr>
          <w:bCs/>
        </w:rPr>
        <w:t xml:space="preserve">. </w:t>
      </w:r>
    </w:p>
    <w:p w14:paraId="28685B7C" w14:textId="0CECA6CB" w:rsidR="00B0552A" w:rsidRPr="001D461E" w:rsidRDefault="00B0552A" w:rsidP="004B2961">
      <w:pPr>
        <w:rPr>
          <w:b/>
        </w:rPr>
      </w:pPr>
      <w:r w:rsidRPr="001D461E">
        <w:rPr>
          <w:b/>
        </w:rPr>
        <w:t>Pr</w:t>
      </w:r>
      <w:r w:rsidR="00E17A2C">
        <w:rPr>
          <w:b/>
        </w:rPr>
        <w:t>inciple</w:t>
      </w:r>
      <w:r w:rsidRPr="001D461E">
        <w:rPr>
          <w:b/>
        </w:rPr>
        <w:t xml:space="preserve"> 1: The standardized data refers to the results of measurements performed by the UE in response to a measurement configuration provided by the network. </w:t>
      </w:r>
    </w:p>
    <w:p w14:paraId="003399C9" w14:textId="337559CA" w:rsidR="001D461E" w:rsidRDefault="00B0552A" w:rsidP="004B2961">
      <w:pPr>
        <w:rPr>
          <w:bCs/>
        </w:rPr>
      </w:pPr>
      <w:r>
        <w:rPr>
          <w:bCs/>
        </w:rPr>
        <w:t xml:space="preserve">This measurement configuration may need to be influenced by the </w:t>
      </w:r>
      <w:r w:rsidR="0036495B">
        <w:rPr>
          <w:bCs/>
        </w:rPr>
        <w:t>e</w:t>
      </w:r>
      <w:r>
        <w:rPr>
          <w:bCs/>
        </w:rPr>
        <w:t>ntity</w:t>
      </w:r>
      <w:r w:rsidR="0036495B">
        <w:rPr>
          <w:bCs/>
        </w:rPr>
        <w:t xml:space="preserve"> (e.g., in application layer)</w:t>
      </w:r>
      <w:r>
        <w:rPr>
          <w:bCs/>
        </w:rPr>
        <w:t xml:space="preserve"> responsible for UE side model training. At least for </w:t>
      </w:r>
      <w:r w:rsidR="00CC67E6">
        <w:rPr>
          <w:bCs/>
        </w:rPr>
        <w:t>option</w:t>
      </w:r>
      <w:r>
        <w:rPr>
          <w:bCs/>
        </w:rPr>
        <w:t xml:space="preserve"> 1b and </w:t>
      </w:r>
      <w:r w:rsidR="00CC67E6">
        <w:rPr>
          <w:bCs/>
        </w:rPr>
        <w:t>option</w:t>
      </w:r>
      <w:r>
        <w:rPr>
          <w:bCs/>
        </w:rPr>
        <w:t xml:space="preserve"> 2, the 5GC need to provide </w:t>
      </w:r>
      <w:r w:rsidR="001D461E">
        <w:rPr>
          <w:bCs/>
        </w:rPr>
        <w:t>interface for an external AF to provide</w:t>
      </w:r>
      <w:r w:rsidR="00B22AAE">
        <w:rPr>
          <w:bCs/>
        </w:rPr>
        <w:t xml:space="preserve"> requirements for</w:t>
      </w:r>
      <w:r w:rsidR="001D461E">
        <w:rPr>
          <w:bCs/>
        </w:rPr>
        <w:t xml:space="preserve"> measurement configuration per UE/ per group</w:t>
      </w:r>
      <w:r w:rsidR="000E72C2">
        <w:rPr>
          <w:bCs/>
        </w:rPr>
        <w:t xml:space="preserve"> of UEs</w:t>
      </w:r>
      <w:r w:rsidR="001D461E">
        <w:rPr>
          <w:bCs/>
        </w:rPr>
        <w:t>.</w:t>
      </w:r>
      <w:r w:rsidR="00CC67E6">
        <w:rPr>
          <w:bCs/>
        </w:rPr>
        <w:t xml:space="preserve"> </w:t>
      </w:r>
      <w:r w:rsidR="002709E8">
        <w:rPr>
          <w:bCs/>
        </w:rPr>
        <w:t xml:space="preserve">For solution 3, it is up to SA5 to decide how external entities can influence measurement configurations. </w:t>
      </w:r>
    </w:p>
    <w:p w14:paraId="3B49D0B5" w14:textId="1DF1D225" w:rsidR="001D461E" w:rsidRPr="00C15C1A" w:rsidRDefault="00C15C1A" w:rsidP="004B2961">
      <w:pPr>
        <w:rPr>
          <w:b/>
        </w:rPr>
      </w:pPr>
      <w:r w:rsidRPr="00C15C1A">
        <w:rPr>
          <w:b/>
        </w:rPr>
        <w:t xml:space="preserve">Principle 2: </w:t>
      </w:r>
      <w:r w:rsidR="00B22AAE" w:rsidRPr="00C15C1A">
        <w:rPr>
          <w:b/>
        </w:rPr>
        <w:t xml:space="preserve">5GC provides an interface to AF to </w:t>
      </w:r>
      <w:r w:rsidRPr="00C15C1A">
        <w:rPr>
          <w:b/>
        </w:rPr>
        <w:t xml:space="preserve">provide requirements on measurement configurations for AIML operations. </w:t>
      </w:r>
      <w:r w:rsidR="00B22AAE" w:rsidRPr="00C15C1A">
        <w:rPr>
          <w:b/>
        </w:rPr>
        <w:t xml:space="preserve"> </w:t>
      </w:r>
    </w:p>
    <w:p w14:paraId="30F2517A" w14:textId="77777777" w:rsidR="000E72C2" w:rsidRDefault="000E72C2" w:rsidP="004B2961">
      <w:pPr>
        <w:rPr>
          <w:bCs/>
        </w:rPr>
      </w:pPr>
    </w:p>
    <w:p w14:paraId="10EA961C" w14:textId="5873C307" w:rsidR="001D461E" w:rsidRPr="001D461E" w:rsidRDefault="007A353B" w:rsidP="00F628A2">
      <w:pPr>
        <w:pStyle w:val="Heading2"/>
      </w:pPr>
      <w:r>
        <w:t xml:space="preserve">1.2 </w:t>
      </w:r>
      <w:r w:rsidR="001D461E" w:rsidRPr="001D461E">
        <w:t xml:space="preserve">User privacy and user consent aspects for exposure of collected data </w:t>
      </w:r>
    </w:p>
    <w:p w14:paraId="7D521B7D" w14:textId="2E9E35EB" w:rsidR="00B0552A" w:rsidRDefault="001D461E" w:rsidP="004B2961">
      <w:pPr>
        <w:rPr>
          <w:bCs/>
        </w:rPr>
      </w:pPr>
      <w:r>
        <w:rPr>
          <w:bCs/>
        </w:rPr>
        <w:t xml:space="preserve">As per Option 2 (to some extent, also for Option 1b), an entity in the 5GC is responsible for collection of data and exposure of data outside of MNO domain. Contrary to Option 1a, MNO is now responsible of ensuring user privacy and user consent aspects for this data exposure. </w:t>
      </w:r>
    </w:p>
    <w:p w14:paraId="54D0C858" w14:textId="24B73A14" w:rsidR="000E72C2" w:rsidRDefault="00946822" w:rsidP="004B2961">
      <w:pPr>
        <w:rPr>
          <w:bCs/>
        </w:rPr>
      </w:pPr>
      <w:r>
        <w:rPr>
          <w:bCs/>
        </w:rPr>
        <w:t>In option 1a, the entity</w:t>
      </w:r>
      <w:r w:rsidR="00BE49A1">
        <w:rPr>
          <w:bCs/>
        </w:rPr>
        <w:t xml:space="preserve"> (OTT Server)</w:t>
      </w:r>
      <w:r>
        <w:rPr>
          <w:bCs/>
        </w:rPr>
        <w:t xml:space="preserve"> that receives the data from the UE is known to the UE/user. It can be assumed that user is aware of the data collection for model training by willingly installing an application client and/or acceptance of user agreement. Also, by design, the collected data is only provided to the entity privileged to receive this information.</w:t>
      </w:r>
    </w:p>
    <w:p w14:paraId="08F4B6E3" w14:textId="6F3B2A5E" w:rsidR="0036495B" w:rsidRDefault="000E72C2" w:rsidP="004B2961">
      <w:pPr>
        <w:rPr>
          <w:bCs/>
        </w:rPr>
      </w:pPr>
      <w:r>
        <w:rPr>
          <w:bCs/>
        </w:rPr>
        <w:t xml:space="preserve">In option 1b, the data collection makes use of </w:t>
      </w:r>
      <w:r w:rsidR="002709E8">
        <w:rPr>
          <w:bCs/>
        </w:rPr>
        <w:t xml:space="preserve">server inside MNO domain before exposing to OTT server outside the MNO domain. The </w:t>
      </w:r>
      <w:r w:rsidR="00DE42B6">
        <w:rPr>
          <w:bCs/>
        </w:rPr>
        <w:t>application layer</w:t>
      </w:r>
      <w:r>
        <w:rPr>
          <w:bCs/>
        </w:rPr>
        <w:t xml:space="preserve"> data collection framework</w:t>
      </w:r>
      <w:r w:rsidR="00DE42B6">
        <w:rPr>
          <w:bCs/>
        </w:rPr>
        <w:t xml:space="preserve"> defines the intermediary Application Function to collect data from the UE.</w:t>
      </w:r>
      <w:r>
        <w:rPr>
          <w:bCs/>
        </w:rPr>
        <w:t xml:space="preserve"> </w:t>
      </w:r>
      <w:r w:rsidR="00DE42B6">
        <w:rPr>
          <w:bCs/>
        </w:rPr>
        <w:t>Data Collection AF (</w:t>
      </w:r>
      <w:r>
        <w:rPr>
          <w:bCs/>
        </w:rPr>
        <w:t>DCAF</w:t>
      </w:r>
      <w:r w:rsidR="00DE42B6">
        <w:rPr>
          <w:bCs/>
        </w:rPr>
        <w:t>)</w:t>
      </w:r>
      <w:r>
        <w:rPr>
          <w:bCs/>
        </w:rPr>
        <w:t xml:space="preserve"> could </w:t>
      </w:r>
      <w:r w:rsidR="00DE42B6">
        <w:rPr>
          <w:bCs/>
        </w:rPr>
        <w:t xml:space="preserve">also </w:t>
      </w:r>
      <w:r>
        <w:rPr>
          <w:bCs/>
        </w:rPr>
        <w:t xml:space="preserve">be deployed </w:t>
      </w:r>
      <w:r w:rsidR="00DE42B6">
        <w:rPr>
          <w:bCs/>
        </w:rPr>
        <w:t xml:space="preserve">by the MNO inside trusted domain. Such a DCAF could be tasked with </w:t>
      </w:r>
      <w:r>
        <w:rPr>
          <w:bCs/>
        </w:rPr>
        <w:t>aggregating</w:t>
      </w:r>
      <w:r w:rsidR="0036495B">
        <w:rPr>
          <w:bCs/>
        </w:rPr>
        <w:t xml:space="preserve"> all </w:t>
      </w:r>
      <w:r w:rsidR="00DE42B6">
        <w:rPr>
          <w:bCs/>
        </w:rPr>
        <w:t xml:space="preserve">external AF </w:t>
      </w:r>
      <w:r w:rsidR="0036495B">
        <w:rPr>
          <w:bCs/>
        </w:rPr>
        <w:t>requirements and provisioning UE with measurement and reporting configuration. DCAF is also responsible for exposure of collected data to other third party AF (trusted or untrusted).</w:t>
      </w:r>
      <w:r w:rsidR="00DB5231">
        <w:rPr>
          <w:bCs/>
        </w:rPr>
        <w:t xml:space="preserve"> </w:t>
      </w:r>
      <w:r w:rsidR="0036495B">
        <w:rPr>
          <w:bCs/>
        </w:rPr>
        <w:t xml:space="preserve">  </w:t>
      </w:r>
    </w:p>
    <w:p w14:paraId="5B9C1700" w14:textId="47531823" w:rsidR="0036495B" w:rsidRDefault="0036495B" w:rsidP="004B2961">
      <w:pPr>
        <w:rPr>
          <w:bCs/>
        </w:rPr>
      </w:pPr>
      <w:r>
        <w:rPr>
          <w:bCs/>
        </w:rPr>
        <w:t xml:space="preserve">In option 2, the </w:t>
      </w:r>
      <w:r w:rsidR="00CC67E6">
        <w:rPr>
          <w:bCs/>
        </w:rPr>
        <w:t>core network NF responsible for data collection</w:t>
      </w:r>
      <w:r>
        <w:rPr>
          <w:bCs/>
        </w:rPr>
        <w:t xml:space="preserve"> could be different depending on the machine learning operation. LMF could be one such NF for AI/ML based positioning. Similarly, NWDAF could be another NF responsible for configuring and collecting measurements from the UE. It can also be a new NF with the sole responsibility of configuring and collecting measurements. </w:t>
      </w:r>
    </w:p>
    <w:p w14:paraId="5EF7D6F0" w14:textId="77777777" w:rsidR="00E17A2C" w:rsidRDefault="00E17A2C" w:rsidP="00E17A2C">
      <w:pPr>
        <w:rPr>
          <w:bCs/>
        </w:rPr>
      </w:pPr>
      <w:r>
        <w:rPr>
          <w:bCs/>
        </w:rPr>
        <w:t>In option 1b and option 2, multiple AFs may request 5GC to configure and collect data from the UE.</w:t>
      </w:r>
    </w:p>
    <w:p w14:paraId="647F429A" w14:textId="243BD022" w:rsidR="00946822" w:rsidRDefault="0036495B" w:rsidP="004B2961">
      <w:pPr>
        <w:rPr>
          <w:bCs/>
        </w:rPr>
      </w:pPr>
      <w:r>
        <w:rPr>
          <w:bCs/>
        </w:rPr>
        <w:t xml:space="preserve">For this analysis, we treat </w:t>
      </w:r>
      <w:r w:rsidR="00DB5231">
        <w:rPr>
          <w:bCs/>
        </w:rPr>
        <w:t>O</w:t>
      </w:r>
      <w:r>
        <w:rPr>
          <w:bCs/>
        </w:rPr>
        <w:t>ption 1b</w:t>
      </w:r>
      <w:r w:rsidR="001E19B8">
        <w:rPr>
          <w:bCs/>
        </w:rPr>
        <w:t xml:space="preserve"> and </w:t>
      </w:r>
      <w:r w:rsidR="00DB5231">
        <w:rPr>
          <w:bCs/>
        </w:rPr>
        <w:t>O</w:t>
      </w:r>
      <w:r>
        <w:rPr>
          <w:bCs/>
        </w:rPr>
        <w:t>ption 2</w:t>
      </w:r>
      <w:r w:rsidR="00BE49A1">
        <w:rPr>
          <w:bCs/>
        </w:rPr>
        <w:t xml:space="preserve"> </w:t>
      </w:r>
      <w:r>
        <w:rPr>
          <w:bCs/>
        </w:rPr>
        <w:t xml:space="preserve">as similar and derive the following </w:t>
      </w:r>
      <w:r w:rsidR="00946822">
        <w:rPr>
          <w:bCs/>
        </w:rPr>
        <w:t xml:space="preserve">observations on the functionality of the </w:t>
      </w:r>
      <w:r w:rsidR="0025211F">
        <w:rPr>
          <w:bCs/>
        </w:rPr>
        <w:t>core network</w:t>
      </w:r>
      <w:r w:rsidR="00946822">
        <w:rPr>
          <w:bCs/>
        </w:rPr>
        <w:t xml:space="preserve"> </w:t>
      </w:r>
      <w:r w:rsidR="0025211F">
        <w:rPr>
          <w:bCs/>
        </w:rPr>
        <w:t>NF</w:t>
      </w:r>
      <w:r w:rsidR="00946822">
        <w:rPr>
          <w:bCs/>
        </w:rPr>
        <w:t xml:space="preserve"> responsible for collecting data from UEs</w:t>
      </w:r>
      <w:r w:rsidR="00DE42B6">
        <w:rPr>
          <w:bCs/>
        </w:rPr>
        <w:t xml:space="preserve"> </w:t>
      </w:r>
      <w:r w:rsidR="00946822">
        <w:rPr>
          <w:bCs/>
        </w:rPr>
        <w:t>and exposing them</w:t>
      </w:r>
      <w:r w:rsidR="00DE42B6">
        <w:rPr>
          <w:bCs/>
        </w:rPr>
        <w:t xml:space="preserve"> to external AFs</w:t>
      </w:r>
      <w:r w:rsidR="00946822">
        <w:rPr>
          <w:bCs/>
        </w:rPr>
        <w:t>.</w:t>
      </w:r>
      <w:r w:rsidR="00E17A2C">
        <w:rPr>
          <w:bCs/>
        </w:rPr>
        <w:t xml:space="preserve"> We see the need to agree on the following principles to realize an architecture that ensures data integrity and user privacy. </w:t>
      </w:r>
    </w:p>
    <w:p w14:paraId="29A67309" w14:textId="7D844B32" w:rsidR="00946822" w:rsidRPr="009440E4" w:rsidRDefault="009440E4" w:rsidP="009440E4">
      <w:pPr>
        <w:rPr>
          <w:bCs/>
        </w:rPr>
      </w:pPr>
      <w:r>
        <w:rPr>
          <w:bCs/>
        </w:rPr>
        <w:t xml:space="preserve">Observation 1: </w:t>
      </w:r>
      <w:r w:rsidR="007A353B">
        <w:rPr>
          <w:bCs/>
        </w:rPr>
        <w:t xml:space="preserve">5GC </w:t>
      </w:r>
      <w:r w:rsidR="00C95587" w:rsidRPr="009440E4">
        <w:rPr>
          <w:bCs/>
        </w:rPr>
        <w:t xml:space="preserve">NF is responsible for authorizing </w:t>
      </w:r>
      <w:r w:rsidR="00946822" w:rsidRPr="009440E4">
        <w:rPr>
          <w:bCs/>
        </w:rPr>
        <w:t xml:space="preserve">Measurement configuration </w:t>
      </w:r>
      <w:r w:rsidR="00C95587" w:rsidRPr="009440E4">
        <w:rPr>
          <w:bCs/>
        </w:rPr>
        <w:t xml:space="preserve">request from AF(s) and </w:t>
      </w:r>
      <w:r w:rsidR="00946822" w:rsidRPr="009440E4">
        <w:rPr>
          <w:bCs/>
        </w:rPr>
        <w:t>should clearly identify the purpose of measurement and the entity (e.g., AF) that is requesting the measurement</w:t>
      </w:r>
      <w:r w:rsidR="00C95587" w:rsidRPr="009440E4">
        <w:rPr>
          <w:bCs/>
        </w:rPr>
        <w:t xml:space="preserve"> to the UE. </w:t>
      </w:r>
      <w:r w:rsidR="00946822" w:rsidRPr="009440E4">
        <w:rPr>
          <w:bCs/>
        </w:rPr>
        <w:t xml:space="preserve"> </w:t>
      </w:r>
    </w:p>
    <w:p w14:paraId="58F80285" w14:textId="608C62DD" w:rsidR="001E4C13" w:rsidRDefault="001E4C13" w:rsidP="007A353B">
      <w:pPr>
        <w:rPr>
          <w:bCs/>
        </w:rPr>
      </w:pPr>
      <w:r>
        <w:rPr>
          <w:b/>
        </w:rPr>
        <w:t>Pr</w:t>
      </w:r>
      <w:r w:rsidR="00296177">
        <w:rPr>
          <w:b/>
        </w:rPr>
        <w:t>inciple</w:t>
      </w:r>
      <w:r>
        <w:rPr>
          <w:b/>
        </w:rPr>
        <w:t xml:space="preserve"> </w:t>
      </w:r>
      <w:r w:rsidR="000C3602">
        <w:rPr>
          <w:b/>
        </w:rPr>
        <w:t>3</w:t>
      </w:r>
      <w:r>
        <w:rPr>
          <w:b/>
        </w:rPr>
        <w:t xml:space="preserve">: </w:t>
      </w:r>
      <w:r w:rsidRPr="001D461E">
        <w:rPr>
          <w:b/>
        </w:rPr>
        <w:t xml:space="preserve">The </w:t>
      </w:r>
      <w:r>
        <w:rPr>
          <w:b/>
        </w:rPr>
        <w:t xml:space="preserve">purpose of </w:t>
      </w:r>
      <w:r w:rsidRPr="001D461E">
        <w:rPr>
          <w:b/>
        </w:rPr>
        <w:t xml:space="preserve">measurement configuration </w:t>
      </w:r>
      <w:r>
        <w:rPr>
          <w:b/>
        </w:rPr>
        <w:t>(</w:t>
      </w:r>
      <w:r w:rsidR="00767C4B">
        <w:rPr>
          <w:b/>
        </w:rPr>
        <w:t xml:space="preserve">e.g., </w:t>
      </w:r>
      <w:r w:rsidRPr="001D461E">
        <w:rPr>
          <w:b/>
        </w:rPr>
        <w:t>UE side model training</w:t>
      </w:r>
      <w:r>
        <w:rPr>
          <w:b/>
        </w:rPr>
        <w:t xml:space="preserve">) and the identity of requesting AF should be </w:t>
      </w:r>
      <w:r w:rsidR="00767C4B">
        <w:rPr>
          <w:b/>
        </w:rPr>
        <w:t>informed</w:t>
      </w:r>
      <w:r>
        <w:rPr>
          <w:b/>
        </w:rPr>
        <w:t xml:space="preserve"> to the UE</w:t>
      </w:r>
      <w:r w:rsidRPr="001D461E">
        <w:rPr>
          <w:b/>
        </w:rPr>
        <w:t>.</w:t>
      </w:r>
    </w:p>
    <w:p w14:paraId="79C51315" w14:textId="3F025EB4" w:rsidR="0025211F" w:rsidRDefault="009440E4" w:rsidP="007A353B">
      <w:pPr>
        <w:rPr>
          <w:bCs/>
        </w:rPr>
      </w:pPr>
      <w:r>
        <w:rPr>
          <w:bCs/>
        </w:rPr>
        <w:t xml:space="preserve">Observation 2: </w:t>
      </w:r>
      <w:r w:rsidR="0025211F" w:rsidRPr="009440E4">
        <w:rPr>
          <w:bCs/>
        </w:rPr>
        <w:t xml:space="preserve">The </w:t>
      </w:r>
      <w:r w:rsidR="007A353B">
        <w:rPr>
          <w:bCs/>
        </w:rPr>
        <w:t xml:space="preserve">5GC </w:t>
      </w:r>
      <w:r w:rsidR="0025211F" w:rsidRPr="009440E4">
        <w:rPr>
          <w:bCs/>
        </w:rPr>
        <w:t>NF is responsible for checking whether user has provided consent for data exposure to the requesting AF before configuring measurements</w:t>
      </w:r>
    </w:p>
    <w:p w14:paraId="184896B7" w14:textId="0D33E8CA" w:rsidR="001E4C13" w:rsidRDefault="001E4C13" w:rsidP="001E4C13">
      <w:pPr>
        <w:rPr>
          <w:bCs/>
        </w:rPr>
      </w:pPr>
      <w:r w:rsidRPr="007A353B">
        <w:rPr>
          <w:b/>
        </w:rPr>
        <w:t>Pr</w:t>
      </w:r>
      <w:r w:rsidR="00296177">
        <w:rPr>
          <w:b/>
        </w:rPr>
        <w:t>inciple</w:t>
      </w:r>
      <w:r w:rsidRPr="007A353B">
        <w:rPr>
          <w:b/>
        </w:rPr>
        <w:t xml:space="preserve"> </w:t>
      </w:r>
      <w:r w:rsidR="000C3602">
        <w:rPr>
          <w:b/>
        </w:rPr>
        <w:t>4</w:t>
      </w:r>
      <w:r w:rsidRPr="007A353B">
        <w:rPr>
          <w:b/>
        </w:rPr>
        <w:t>: 5GC NF responsible for data collection enforces user consent check for collection and exposure of data outside of MNO domain.</w:t>
      </w:r>
    </w:p>
    <w:p w14:paraId="4006E370" w14:textId="77777777" w:rsidR="001E19B8" w:rsidRDefault="001E19B8" w:rsidP="001E19B8">
      <w:pPr>
        <w:rPr>
          <w:bCs/>
        </w:rPr>
      </w:pPr>
      <w:r>
        <w:rPr>
          <w:bCs/>
        </w:rPr>
        <w:t xml:space="preserve">In option 3, the entity responsible for data collection and exposure is in the OAM domain. However, one could extend the similar design in that case also. </w:t>
      </w:r>
    </w:p>
    <w:p w14:paraId="2895293B" w14:textId="71FEB203" w:rsidR="0025211F" w:rsidRDefault="0025211F" w:rsidP="0025211F">
      <w:pPr>
        <w:rPr>
          <w:bCs/>
        </w:rPr>
      </w:pPr>
      <w:r>
        <w:rPr>
          <w:bCs/>
        </w:rPr>
        <w:lastRenderedPageBreak/>
        <w:t>The data collection could apply many privacy preserving techniques before exposure outside the MNO domain. Some AFs may only require anonymised data (measurement</w:t>
      </w:r>
      <w:r w:rsidR="00E83D39">
        <w:rPr>
          <w:bCs/>
        </w:rPr>
        <w:t xml:space="preserve"> results from UEs of a same vendor from a location), some require only aggregated data, or some may only need temporary proxied identifiers to be reported. </w:t>
      </w:r>
      <w:r w:rsidR="007A353B">
        <w:rPr>
          <w:bCs/>
        </w:rPr>
        <w:t>The privacy protections methods need to be</w:t>
      </w:r>
      <w:r w:rsidR="00F628A2">
        <w:rPr>
          <w:bCs/>
        </w:rPr>
        <w:t xml:space="preserve"> applied in the reported data before exposure to the AF. </w:t>
      </w:r>
      <w:r w:rsidR="007A353B">
        <w:rPr>
          <w:bCs/>
        </w:rPr>
        <w:t xml:space="preserve"> </w:t>
      </w:r>
      <w:r>
        <w:rPr>
          <w:bCs/>
        </w:rPr>
        <w:t xml:space="preserve"> </w:t>
      </w:r>
    </w:p>
    <w:p w14:paraId="17747746" w14:textId="3D9BE914" w:rsidR="0025211F" w:rsidRDefault="007A353B" w:rsidP="007A353B">
      <w:pPr>
        <w:rPr>
          <w:bCs/>
        </w:rPr>
      </w:pPr>
      <w:r>
        <w:rPr>
          <w:bCs/>
        </w:rPr>
        <w:t xml:space="preserve">Observation 3: </w:t>
      </w:r>
      <w:r w:rsidR="0036495B">
        <w:rPr>
          <w:bCs/>
        </w:rPr>
        <w:t xml:space="preserve">5GC </w:t>
      </w:r>
      <w:r w:rsidR="0025211F" w:rsidRPr="007A353B">
        <w:rPr>
          <w:bCs/>
        </w:rPr>
        <w:t>NF is responsible for obtaining privacy requirements for data collection from the AF and enforcing them prior to exposure</w:t>
      </w:r>
      <w:r w:rsidR="00E83D39" w:rsidRPr="007A353B">
        <w:rPr>
          <w:bCs/>
        </w:rPr>
        <w:t xml:space="preserve">. </w:t>
      </w:r>
    </w:p>
    <w:p w14:paraId="51DD2EFB" w14:textId="21B47454" w:rsidR="007A353B" w:rsidRPr="007A353B" w:rsidRDefault="007A353B" w:rsidP="007A353B">
      <w:pPr>
        <w:rPr>
          <w:b/>
        </w:rPr>
      </w:pPr>
      <w:r w:rsidRPr="007A353B">
        <w:rPr>
          <w:b/>
        </w:rPr>
        <w:t>Pr</w:t>
      </w:r>
      <w:r w:rsidR="00296177">
        <w:rPr>
          <w:b/>
        </w:rPr>
        <w:t>inciple</w:t>
      </w:r>
      <w:r w:rsidRPr="007A353B">
        <w:rPr>
          <w:b/>
        </w:rPr>
        <w:t xml:space="preserve"> </w:t>
      </w:r>
      <w:r w:rsidR="000C3602">
        <w:rPr>
          <w:b/>
        </w:rPr>
        <w:t>5</w:t>
      </w:r>
      <w:r w:rsidRPr="007A353B">
        <w:rPr>
          <w:b/>
        </w:rPr>
        <w:t>: 5GC NF responsible for data collection applies privacy protecting methods as required</w:t>
      </w:r>
      <w:r w:rsidR="00832E59">
        <w:rPr>
          <w:b/>
        </w:rPr>
        <w:t xml:space="preserve"> before data exposure</w:t>
      </w:r>
      <w:r w:rsidRPr="007A353B">
        <w:rPr>
          <w:b/>
        </w:rPr>
        <w:t xml:space="preserve">.  </w:t>
      </w:r>
    </w:p>
    <w:p w14:paraId="41968FE3" w14:textId="045430F4" w:rsidR="00D34207" w:rsidRDefault="007A353B" w:rsidP="00E83D39">
      <w:pPr>
        <w:rPr>
          <w:bCs/>
        </w:rPr>
      </w:pPr>
      <w:r>
        <w:rPr>
          <w:bCs/>
        </w:rPr>
        <w:t>The following figure shows the architectural diagram for data collection using a 5GC NF</w:t>
      </w:r>
      <w:r w:rsidR="00D34207">
        <w:rPr>
          <w:bCs/>
        </w:rPr>
        <w:t xml:space="preserve"> </w:t>
      </w:r>
    </w:p>
    <w:p w14:paraId="56412F9E" w14:textId="77777777" w:rsidR="001E4C13" w:rsidRDefault="001E4C13" w:rsidP="001E4C13">
      <w:pPr>
        <w:keepNext/>
        <w:jc w:val="center"/>
      </w:pPr>
      <w:r w:rsidRPr="001E4C13">
        <w:rPr>
          <w:bCs/>
          <w:noProof/>
        </w:rPr>
        <w:drawing>
          <wp:inline distT="0" distB="0" distL="0" distR="0" wp14:anchorId="0197AA5C" wp14:editId="358299F2">
            <wp:extent cx="5252705" cy="2029033"/>
            <wp:effectExtent l="0" t="0" r="5715" b="3175"/>
            <wp:docPr id="1040958562" name="Picture 1" descr="A black background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958562" name="Picture 1" descr="A black background with blue text&#10;&#10;Description automatically generated"/>
                    <pic:cNvPicPr/>
                  </pic:nvPicPr>
                  <pic:blipFill>
                    <a:blip r:embed="rId12"/>
                    <a:stretch>
                      <a:fillRect/>
                    </a:stretch>
                  </pic:blipFill>
                  <pic:spPr>
                    <a:xfrm>
                      <a:off x="0" y="0"/>
                      <a:ext cx="5277925" cy="2038775"/>
                    </a:xfrm>
                    <a:prstGeom prst="rect">
                      <a:avLst/>
                    </a:prstGeom>
                  </pic:spPr>
                </pic:pic>
              </a:graphicData>
            </a:graphic>
          </wp:inline>
        </w:drawing>
      </w:r>
    </w:p>
    <w:p w14:paraId="55AF5AAC" w14:textId="4A1B3893" w:rsidR="009440E4" w:rsidRDefault="001E4C13" w:rsidP="001E4C13">
      <w:pPr>
        <w:pStyle w:val="Caption"/>
        <w:jc w:val="center"/>
        <w:rPr>
          <w:bCs w:val="0"/>
        </w:rPr>
      </w:pPr>
      <w:r>
        <w:t>Figure 1</w:t>
      </w:r>
      <w:r>
        <w:noBreakHyphen/>
      </w:r>
      <w:r>
        <w:fldChar w:fldCharType="begin"/>
      </w:r>
      <w:r>
        <w:instrText xml:space="preserve"> SEQ Figure \* ARABIC \s 0 </w:instrText>
      </w:r>
      <w:r>
        <w:fldChar w:fldCharType="separate"/>
      </w:r>
      <w:r>
        <w:rPr>
          <w:noProof/>
        </w:rPr>
        <w:t>1</w:t>
      </w:r>
      <w:r>
        <w:fldChar w:fldCharType="end"/>
      </w:r>
      <w:r>
        <w:t xml:space="preserve"> System architecture for UE data collection using 5GC NF</w:t>
      </w:r>
    </w:p>
    <w:p w14:paraId="659BD1EE" w14:textId="77777777" w:rsidR="007A353B" w:rsidRDefault="007A353B" w:rsidP="00E83D39">
      <w:pPr>
        <w:rPr>
          <w:bCs/>
        </w:rPr>
      </w:pPr>
    </w:p>
    <w:p w14:paraId="26A5C3F2" w14:textId="77777777" w:rsidR="007A353B" w:rsidRDefault="007A353B" w:rsidP="00E83D39">
      <w:pPr>
        <w:rPr>
          <w:bCs/>
        </w:rPr>
      </w:pPr>
    </w:p>
    <w:p w14:paraId="3E92F8EF" w14:textId="743B6BDC" w:rsidR="007A353B" w:rsidRDefault="007A353B" w:rsidP="00F628A2">
      <w:pPr>
        <w:pStyle w:val="Heading1"/>
      </w:pPr>
      <w:r>
        <w:t xml:space="preserve">2. Conclusions </w:t>
      </w:r>
    </w:p>
    <w:p w14:paraId="12092A3B" w14:textId="5DFB931D" w:rsidR="00D34207" w:rsidRDefault="007A353B" w:rsidP="00E83D39">
      <w:pPr>
        <w:rPr>
          <w:bCs/>
        </w:rPr>
      </w:pPr>
      <w:r>
        <w:rPr>
          <w:bCs/>
        </w:rPr>
        <w:t xml:space="preserve">It is proposed to agree the following </w:t>
      </w:r>
      <w:r w:rsidR="00F628A2">
        <w:rPr>
          <w:bCs/>
        </w:rPr>
        <w:t xml:space="preserve">architecture principles </w:t>
      </w:r>
      <w:r>
        <w:rPr>
          <w:bCs/>
        </w:rPr>
        <w:t>for user consent and privacy management for data collection and exposure through 5GC</w:t>
      </w:r>
      <w:r w:rsidR="0036495B">
        <w:rPr>
          <w:bCs/>
        </w:rPr>
        <w:t xml:space="preserve"> using either option 1b or option 2</w:t>
      </w:r>
      <w:r w:rsidR="001E4C13">
        <w:rPr>
          <w:bCs/>
        </w:rPr>
        <w:t xml:space="preserve">. </w:t>
      </w:r>
    </w:p>
    <w:p w14:paraId="504B781E" w14:textId="2D1DE871" w:rsidR="001E4C13" w:rsidRDefault="00DB5231" w:rsidP="00DB5231">
      <w:pPr>
        <w:rPr>
          <w:b/>
        </w:rPr>
      </w:pPr>
      <w:r>
        <w:rPr>
          <w:b/>
        </w:rPr>
        <w:t xml:space="preserve">Architecture </w:t>
      </w:r>
      <w:r w:rsidRPr="007A353B">
        <w:rPr>
          <w:b/>
        </w:rPr>
        <w:t>Pr</w:t>
      </w:r>
      <w:r>
        <w:rPr>
          <w:b/>
        </w:rPr>
        <w:t>inciple</w:t>
      </w:r>
      <w:r w:rsidRPr="007A353B">
        <w:rPr>
          <w:b/>
        </w:rPr>
        <w:t xml:space="preserve"> </w:t>
      </w:r>
      <w:r w:rsidR="001E4C13">
        <w:rPr>
          <w:b/>
        </w:rPr>
        <w:t>1</w:t>
      </w:r>
      <w:r w:rsidRPr="001D461E">
        <w:rPr>
          <w:b/>
        </w:rPr>
        <w:t xml:space="preserve">: The standardized data refers to the results of measurements performed by the UE in response to a measurement configuration provided by the network. </w:t>
      </w:r>
    </w:p>
    <w:p w14:paraId="7F76A9D0" w14:textId="2318CA6A" w:rsidR="000C3602" w:rsidRDefault="000C3602" w:rsidP="001E4C13">
      <w:pPr>
        <w:rPr>
          <w:b/>
        </w:rPr>
      </w:pPr>
      <w:r>
        <w:rPr>
          <w:b/>
        </w:rPr>
        <w:t>Architecture</w:t>
      </w:r>
      <w:r w:rsidRPr="00C15C1A">
        <w:rPr>
          <w:b/>
        </w:rPr>
        <w:t xml:space="preserve"> </w:t>
      </w:r>
      <w:r w:rsidRPr="00C15C1A">
        <w:rPr>
          <w:b/>
        </w:rPr>
        <w:t>Principle 2: 5GC provides an interface to AFs to provide requirements on measurement configurations for AIML operations.</w:t>
      </w:r>
    </w:p>
    <w:p w14:paraId="7A4BE412" w14:textId="58E9E0DF" w:rsidR="001E4C13" w:rsidRDefault="001E4C13" w:rsidP="001E4C13">
      <w:pPr>
        <w:rPr>
          <w:bCs/>
        </w:rPr>
      </w:pPr>
      <w:r>
        <w:rPr>
          <w:b/>
        </w:rPr>
        <w:t xml:space="preserve">Architecture </w:t>
      </w:r>
      <w:r w:rsidRPr="007A353B">
        <w:rPr>
          <w:b/>
        </w:rPr>
        <w:t>Pr</w:t>
      </w:r>
      <w:r>
        <w:rPr>
          <w:b/>
        </w:rPr>
        <w:t xml:space="preserve">inciple </w:t>
      </w:r>
      <w:r w:rsidR="000C3602">
        <w:rPr>
          <w:b/>
        </w:rPr>
        <w:t>3</w:t>
      </w:r>
      <w:r>
        <w:rPr>
          <w:b/>
        </w:rPr>
        <w:t xml:space="preserve">: </w:t>
      </w:r>
      <w:r w:rsidRPr="001D461E">
        <w:rPr>
          <w:b/>
        </w:rPr>
        <w:t xml:space="preserve">The </w:t>
      </w:r>
      <w:r>
        <w:rPr>
          <w:b/>
        </w:rPr>
        <w:t xml:space="preserve">purpose of </w:t>
      </w:r>
      <w:r w:rsidRPr="001D461E">
        <w:rPr>
          <w:b/>
        </w:rPr>
        <w:t xml:space="preserve">measurement configuration </w:t>
      </w:r>
      <w:r>
        <w:rPr>
          <w:b/>
        </w:rPr>
        <w:t>(</w:t>
      </w:r>
      <w:r w:rsidR="00CC67E6">
        <w:rPr>
          <w:b/>
        </w:rPr>
        <w:t xml:space="preserve">e.g., </w:t>
      </w:r>
      <w:r w:rsidRPr="001D461E">
        <w:rPr>
          <w:b/>
        </w:rPr>
        <w:t>UE side model training</w:t>
      </w:r>
      <w:r>
        <w:rPr>
          <w:b/>
        </w:rPr>
        <w:t xml:space="preserve">) and the identity of </w:t>
      </w:r>
      <w:r w:rsidR="00CC67E6">
        <w:rPr>
          <w:b/>
        </w:rPr>
        <w:t xml:space="preserve">the </w:t>
      </w:r>
      <w:r>
        <w:rPr>
          <w:b/>
        </w:rPr>
        <w:t xml:space="preserve">requesting AF should be </w:t>
      </w:r>
      <w:r w:rsidR="00767C4B">
        <w:rPr>
          <w:b/>
        </w:rPr>
        <w:t>informed</w:t>
      </w:r>
      <w:r>
        <w:rPr>
          <w:b/>
        </w:rPr>
        <w:t xml:space="preserve"> to the UE</w:t>
      </w:r>
      <w:r w:rsidRPr="001D461E">
        <w:rPr>
          <w:b/>
        </w:rPr>
        <w:t>.</w:t>
      </w:r>
    </w:p>
    <w:p w14:paraId="60C758B3" w14:textId="19D7DF72" w:rsidR="007A353B" w:rsidRDefault="00F628A2" w:rsidP="007A353B">
      <w:pPr>
        <w:rPr>
          <w:bCs/>
        </w:rPr>
      </w:pPr>
      <w:r>
        <w:rPr>
          <w:b/>
        </w:rPr>
        <w:t xml:space="preserve">Architecture </w:t>
      </w:r>
      <w:r w:rsidR="007A353B" w:rsidRPr="007A353B">
        <w:rPr>
          <w:b/>
        </w:rPr>
        <w:t>Pr</w:t>
      </w:r>
      <w:r>
        <w:rPr>
          <w:b/>
        </w:rPr>
        <w:t>inciple</w:t>
      </w:r>
      <w:r w:rsidR="007A353B" w:rsidRPr="007A353B">
        <w:rPr>
          <w:b/>
        </w:rPr>
        <w:t xml:space="preserve"> </w:t>
      </w:r>
      <w:r w:rsidR="000C3602">
        <w:rPr>
          <w:b/>
        </w:rPr>
        <w:t>4</w:t>
      </w:r>
      <w:r w:rsidR="007A353B" w:rsidRPr="007A353B">
        <w:rPr>
          <w:b/>
        </w:rPr>
        <w:t xml:space="preserve">: 5GC NF </w:t>
      </w:r>
      <w:r w:rsidR="00226511">
        <w:rPr>
          <w:b/>
        </w:rPr>
        <w:t>(</w:t>
      </w:r>
      <w:r w:rsidR="007A353B" w:rsidRPr="007A353B">
        <w:rPr>
          <w:b/>
        </w:rPr>
        <w:t>responsible for data collection</w:t>
      </w:r>
      <w:r w:rsidR="00226511">
        <w:rPr>
          <w:b/>
        </w:rPr>
        <w:t>)</w:t>
      </w:r>
      <w:r w:rsidR="007A353B" w:rsidRPr="007A353B">
        <w:rPr>
          <w:b/>
        </w:rPr>
        <w:t xml:space="preserve"> enforces user consent check for collection and exposure of data outside of MNO domain.</w:t>
      </w:r>
    </w:p>
    <w:p w14:paraId="63B2D8CA" w14:textId="6C9252D5" w:rsidR="00B72DF6" w:rsidRDefault="00F628A2" w:rsidP="00AC54DB">
      <w:pPr>
        <w:rPr>
          <w:rFonts w:ascii="Arial" w:hAnsi="Arial"/>
          <w:color w:val="auto"/>
          <w:sz w:val="36"/>
        </w:rPr>
      </w:pPr>
      <w:r>
        <w:rPr>
          <w:b/>
        </w:rPr>
        <w:t xml:space="preserve">Architecture </w:t>
      </w:r>
      <w:r w:rsidR="007A353B" w:rsidRPr="007A353B">
        <w:rPr>
          <w:b/>
        </w:rPr>
        <w:t>Pr</w:t>
      </w:r>
      <w:r>
        <w:rPr>
          <w:b/>
        </w:rPr>
        <w:t>inciple</w:t>
      </w:r>
      <w:r w:rsidR="007A353B" w:rsidRPr="007A353B">
        <w:rPr>
          <w:b/>
        </w:rPr>
        <w:t xml:space="preserve"> </w:t>
      </w:r>
      <w:r w:rsidR="000C3602">
        <w:rPr>
          <w:b/>
        </w:rPr>
        <w:t>5</w:t>
      </w:r>
      <w:r w:rsidR="007A353B" w:rsidRPr="007A353B">
        <w:rPr>
          <w:b/>
        </w:rPr>
        <w:t xml:space="preserve">: 5GC NF </w:t>
      </w:r>
      <w:r w:rsidR="00226511">
        <w:rPr>
          <w:b/>
        </w:rPr>
        <w:t>(</w:t>
      </w:r>
      <w:r w:rsidR="007A353B" w:rsidRPr="007A353B">
        <w:rPr>
          <w:b/>
        </w:rPr>
        <w:t>responsible for data collection</w:t>
      </w:r>
      <w:r w:rsidR="00226511">
        <w:rPr>
          <w:b/>
        </w:rPr>
        <w:t>)</w:t>
      </w:r>
      <w:r w:rsidR="007A353B" w:rsidRPr="007A353B">
        <w:rPr>
          <w:b/>
        </w:rPr>
        <w:t xml:space="preserve"> applies privacy protecting methods as required</w:t>
      </w:r>
      <w:r w:rsidR="00832E59">
        <w:rPr>
          <w:b/>
        </w:rPr>
        <w:t xml:space="preserve"> before data exposure</w:t>
      </w:r>
      <w:r w:rsidR="007A353B" w:rsidRPr="007A353B">
        <w:rPr>
          <w:b/>
        </w:rPr>
        <w:t>.</w:t>
      </w:r>
    </w:p>
    <w:p w14:paraId="52ACCD69" w14:textId="77777777" w:rsidR="00DF3C60" w:rsidRDefault="00DF3C60" w:rsidP="009A78AD">
      <w:pPr>
        <w:rPr>
          <w:rFonts w:ascii="Arial" w:hAnsi="Arial"/>
          <w:color w:val="auto"/>
          <w:sz w:val="36"/>
        </w:rPr>
      </w:pPr>
    </w:p>
    <w:p w14:paraId="188010F4" w14:textId="12CB2898" w:rsidR="00F628A2" w:rsidRDefault="00F628A2" w:rsidP="00F628A2">
      <w:pPr>
        <w:pStyle w:val="Heading1"/>
      </w:pPr>
      <w:r>
        <w:t>3. References</w:t>
      </w:r>
    </w:p>
    <w:p w14:paraId="532B2193" w14:textId="0358027F" w:rsidR="00F628A2" w:rsidRPr="00DF3C60" w:rsidRDefault="00F628A2" w:rsidP="00F628A2">
      <w:r>
        <w:t xml:space="preserve">1. </w:t>
      </w:r>
      <w:hyperlink r:id="rId13" w:history="1">
        <w:r w:rsidRPr="00F628A2">
          <w:rPr>
            <w:rStyle w:val="Hyperlink"/>
          </w:rPr>
          <w:t>S2-2409600</w:t>
        </w:r>
      </w:hyperlink>
      <w:r>
        <w:t xml:space="preserve"> - </w:t>
      </w:r>
      <w:r w:rsidRPr="00F628A2">
        <w:t>LS from TSG RAN: LS on AIML data collection</w:t>
      </w:r>
      <w:r>
        <w:t xml:space="preserve"> </w:t>
      </w:r>
    </w:p>
    <w:sectPr w:rsidR="00F628A2" w:rsidRPr="00DF3C6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84A8FB" w14:textId="77777777" w:rsidR="009F5521" w:rsidRDefault="009F5521">
      <w:r>
        <w:separator/>
      </w:r>
    </w:p>
    <w:p w14:paraId="4D534A93" w14:textId="77777777" w:rsidR="009F5521" w:rsidRDefault="009F5521"/>
  </w:endnote>
  <w:endnote w:type="continuationSeparator" w:id="0">
    <w:p w14:paraId="0C1B2B20" w14:textId="77777777" w:rsidR="009F5521" w:rsidRDefault="009F5521">
      <w:r>
        <w:continuationSeparator/>
      </w:r>
    </w:p>
    <w:p w14:paraId="095218C9" w14:textId="77777777" w:rsidR="009F5521" w:rsidRDefault="009F5521"/>
  </w:endnote>
  <w:endnote w:type="continuationNotice" w:id="1">
    <w:p w14:paraId="2966030D" w14:textId="77777777" w:rsidR="009F5521" w:rsidRDefault="009F55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AB5302" w14:textId="77777777" w:rsidR="009F5521" w:rsidRDefault="009F5521">
      <w:r>
        <w:separator/>
      </w:r>
    </w:p>
    <w:p w14:paraId="729C31C4" w14:textId="77777777" w:rsidR="009F5521" w:rsidRDefault="009F5521"/>
  </w:footnote>
  <w:footnote w:type="continuationSeparator" w:id="0">
    <w:p w14:paraId="1BF50B5D" w14:textId="77777777" w:rsidR="009F5521" w:rsidRDefault="009F5521">
      <w:r>
        <w:continuationSeparator/>
      </w:r>
    </w:p>
    <w:p w14:paraId="22C1AC27" w14:textId="77777777" w:rsidR="009F5521" w:rsidRDefault="009F5521"/>
  </w:footnote>
  <w:footnote w:type="continuationNotice" w:id="1">
    <w:p w14:paraId="4FF4040C" w14:textId="77777777" w:rsidR="009F5521" w:rsidRDefault="009F55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4" type="#_x0000_t75" style="width:16.3pt;height:16.3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6D42D3"/>
    <w:multiLevelType w:val="hybridMultilevel"/>
    <w:tmpl w:val="5DC8476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F00E41"/>
    <w:multiLevelType w:val="hybridMultilevel"/>
    <w:tmpl w:val="C194C1AE"/>
    <w:lvl w:ilvl="0" w:tplc="78A4A7A4">
      <w:start w:val="1"/>
      <w:numFmt w:val="bullet"/>
      <w:lvlText w:val="-"/>
      <w:lvlJc w:val="left"/>
      <w:pPr>
        <w:ind w:left="660" w:hanging="360"/>
      </w:pPr>
      <w:rPr>
        <w:rFonts w:ascii="Times New Roman" w:eastAsia="Malgun Gothic" w:hAnsi="Times New Roman" w:cs="Times New Roman"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35"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2218727">
    <w:abstractNumId w:val="31"/>
  </w:num>
  <w:num w:numId="2" w16cid:durableId="546264430">
    <w:abstractNumId w:val="22"/>
  </w:num>
  <w:num w:numId="3" w16cid:durableId="976226586">
    <w:abstractNumId w:val="13"/>
  </w:num>
  <w:num w:numId="4" w16cid:durableId="816263066">
    <w:abstractNumId w:val="20"/>
  </w:num>
  <w:num w:numId="5" w16cid:durableId="1930458234">
    <w:abstractNumId w:val="29"/>
  </w:num>
  <w:num w:numId="6" w16cid:durableId="212472176">
    <w:abstractNumId w:val="39"/>
  </w:num>
  <w:num w:numId="7" w16cid:durableId="60948834">
    <w:abstractNumId w:val="24"/>
  </w:num>
  <w:num w:numId="8" w16cid:durableId="833450075">
    <w:abstractNumId w:val="28"/>
  </w:num>
  <w:num w:numId="9" w16cid:durableId="138305074">
    <w:abstractNumId w:val="33"/>
  </w:num>
  <w:num w:numId="10" w16cid:durableId="1376542618">
    <w:abstractNumId w:val="40"/>
  </w:num>
  <w:num w:numId="11" w16cid:durableId="1798327382">
    <w:abstractNumId w:val="25"/>
  </w:num>
  <w:num w:numId="12" w16cid:durableId="1221402666">
    <w:abstractNumId w:val="10"/>
  </w:num>
  <w:num w:numId="13" w16cid:durableId="1139225555">
    <w:abstractNumId w:val="17"/>
  </w:num>
  <w:num w:numId="14" w16cid:durableId="925386879">
    <w:abstractNumId w:val="26"/>
  </w:num>
  <w:num w:numId="15" w16cid:durableId="2003192033">
    <w:abstractNumId w:val="38"/>
  </w:num>
  <w:num w:numId="16" w16cid:durableId="919606581">
    <w:abstractNumId w:val="9"/>
  </w:num>
  <w:num w:numId="17" w16cid:durableId="1229339703">
    <w:abstractNumId w:val="7"/>
  </w:num>
  <w:num w:numId="18" w16cid:durableId="1838227715">
    <w:abstractNumId w:val="6"/>
  </w:num>
  <w:num w:numId="19" w16cid:durableId="1427385509">
    <w:abstractNumId w:val="5"/>
  </w:num>
  <w:num w:numId="20" w16cid:durableId="1713533300">
    <w:abstractNumId w:val="4"/>
  </w:num>
  <w:num w:numId="21" w16cid:durableId="570891659">
    <w:abstractNumId w:val="8"/>
  </w:num>
  <w:num w:numId="22" w16cid:durableId="904528220">
    <w:abstractNumId w:val="3"/>
  </w:num>
  <w:num w:numId="23" w16cid:durableId="1279338244">
    <w:abstractNumId w:val="2"/>
  </w:num>
  <w:num w:numId="24" w16cid:durableId="163401804">
    <w:abstractNumId w:val="1"/>
  </w:num>
  <w:num w:numId="25" w16cid:durableId="1638104560">
    <w:abstractNumId w:val="0"/>
  </w:num>
  <w:num w:numId="26" w16cid:durableId="1605192963">
    <w:abstractNumId w:val="35"/>
  </w:num>
  <w:num w:numId="27" w16cid:durableId="1201014842">
    <w:abstractNumId w:val="36"/>
  </w:num>
  <w:num w:numId="28" w16cid:durableId="20907469">
    <w:abstractNumId w:val="37"/>
  </w:num>
  <w:num w:numId="29" w16cid:durableId="834958855">
    <w:abstractNumId w:val="15"/>
  </w:num>
  <w:num w:numId="30" w16cid:durableId="2118600509">
    <w:abstractNumId w:val="23"/>
  </w:num>
  <w:num w:numId="31" w16cid:durableId="885145315">
    <w:abstractNumId w:val="14"/>
  </w:num>
  <w:num w:numId="32" w16cid:durableId="328557071">
    <w:abstractNumId w:val="21"/>
  </w:num>
  <w:num w:numId="33" w16cid:durableId="525564251">
    <w:abstractNumId w:val="12"/>
  </w:num>
  <w:num w:numId="34" w16cid:durableId="1224827392">
    <w:abstractNumId w:val="27"/>
  </w:num>
  <w:num w:numId="35" w16cid:durableId="1467815605">
    <w:abstractNumId w:val="11"/>
  </w:num>
  <w:num w:numId="36" w16cid:durableId="628360908">
    <w:abstractNumId w:val="16"/>
  </w:num>
  <w:num w:numId="37" w16cid:durableId="138422062">
    <w:abstractNumId w:val="41"/>
  </w:num>
  <w:num w:numId="38" w16cid:durableId="226840274">
    <w:abstractNumId w:val="32"/>
  </w:num>
  <w:num w:numId="39" w16cid:durableId="372073332">
    <w:abstractNumId w:val="18"/>
  </w:num>
  <w:num w:numId="40" w16cid:durableId="1518035842">
    <w:abstractNumId w:val="34"/>
  </w:num>
  <w:num w:numId="41" w16cid:durableId="334654010">
    <w:abstractNumId w:val="30"/>
  </w:num>
  <w:num w:numId="42" w16cid:durableId="368605603">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CA3"/>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3A16"/>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602"/>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E72C2"/>
    <w:rsid w:val="000F0450"/>
    <w:rsid w:val="000F06D8"/>
    <w:rsid w:val="000F0D09"/>
    <w:rsid w:val="000F1024"/>
    <w:rsid w:val="000F3035"/>
    <w:rsid w:val="000F5AB5"/>
    <w:rsid w:val="000F5D71"/>
    <w:rsid w:val="000F5E59"/>
    <w:rsid w:val="000F60B7"/>
    <w:rsid w:val="000F67B7"/>
    <w:rsid w:val="000F77CC"/>
    <w:rsid w:val="000F7CAD"/>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278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1200"/>
    <w:rsid w:val="001D1605"/>
    <w:rsid w:val="001D1FB4"/>
    <w:rsid w:val="001D21F1"/>
    <w:rsid w:val="001D2C5C"/>
    <w:rsid w:val="001D2DF9"/>
    <w:rsid w:val="001D3C46"/>
    <w:rsid w:val="001D4320"/>
    <w:rsid w:val="001D461E"/>
    <w:rsid w:val="001D49BD"/>
    <w:rsid w:val="001D6182"/>
    <w:rsid w:val="001D6532"/>
    <w:rsid w:val="001E0DF5"/>
    <w:rsid w:val="001E125D"/>
    <w:rsid w:val="001E19B8"/>
    <w:rsid w:val="001E1F34"/>
    <w:rsid w:val="001E29BF"/>
    <w:rsid w:val="001E3FBC"/>
    <w:rsid w:val="001E4C13"/>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29BA"/>
    <w:rsid w:val="00223BAC"/>
    <w:rsid w:val="00223D76"/>
    <w:rsid w:val="00226511"/>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11F"/>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9E8"/>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177"/>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6C4C"/>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95B"/>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2681"/>
    <w:rsid w:val="00383F2D"/>
    <w:rsid w:val="00384D8F"/>
    <w:rsid w:val="00385B51"/>
    <w:rsid w:val="00386903"/>
    <w:rsid w:val="0038795A"/>
    <w:rsid w:val="00390D97"/>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5F"/>
    <w:rsid w:val="0049476B"/>
    <w:rsid w:val="004953B2"/>
    <w:rsid w:val="00497686"/>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961"/>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757"/>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4942"/>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D3E"/>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0E38"/>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3CE5"/>
    <w:rsid w:val="007440D9"/>
    <w:rsid w:val="00744426"/>
    <w:rsid w:val="007445FE"/>
    <w:rsid w:val="00744FCE"/>
    <w:rsid w:val="00745332"/>
    <w:rsid w:val="0074585A"/>
    <w:rsid w:val="0074609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67C4B"/>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53B"/>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831"/>
    <w:rsid w:val="00830B16"/>
    <w:rsid w:val="00830CDB"/>
    <w:rsid w:val="008318AB"/>
    <w:rsid w:val="00832E59"/>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3909"/>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40E4"/>
    <w:rsid w:val="00945C17"/>
    <w:rsid w:val="0094639E"/>
    <w:rsid w:val="00946822"/>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0D7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4F7"/>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586"/>
    <w:rsid w:val="009F48B0"/>
    <w:rsid w:val="009F4F45"/>
    <w:rsid w:val="009F5521"/>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37B10"/>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4EA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4D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52A"/>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AAE"/>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87C"/>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2190"/>
    <w:rsid w:val="00B72CC6"/>
    <w:rsid w:val="00B72DF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1EAB"/>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5809"/>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49A1"/>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5C1A"/>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5587"/>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67E6"/>
    <w:rsid w:val="00CC77FF"/>
    <w:rsid w:val="00CC780F"/>
    <w:rsid w:val="00CC7F9E"/>
    <w:rsid w:val="00CD02B7"/>
    <w:rsid w:val="00CD0E9E"/>
    <w:rsid w:val="00CD1922"/>
    <w:rsid w:val="00CD2628"/>
    <w:rsid w:val="00CD27F3"/>
    <w:rsid w:val="00CD28D1"/>
    <w:rsid w:val="00CD2EC3"/>
    <w:rsid w:val="00CD39F8"/>
    <w:rsid w:val="00CD417E"/>
    <w:rsid w:val="00CD4A81"/>
    <w:rsid w:val="00CD4B24"/>
    <w:rsid w:val="00CD4D71"/>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207"/>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6767D"/>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231"/>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2B6"/>
    <w:rsid w:val="00DE4468"/>
    <w:rsid w:val="00DE4D23"/>
    <w:rsid w:val="00DE4FE3"/>
    <w:rsid w:val="00DE5111"/>
    <w:rsid w:val="00DE5EA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EEB"/>
    <w:rsid w:val="00E01BFB"/>
    <w:rsid w:val="00E01E14"/>
    <w:rsid w:val="00E01E30"/>
    <w:rsid w:val="00E025E1"/>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17A2C"/>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3D39"/>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5BB1"/>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8A2"/>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599"/>
    <w:rsid w:val="00FF1A27"/>
    <w:rsid w:val="00FF1B8B"/>
    <w:rsid w:val="00FF3A3F"/>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72DF6"/>
    <w:rPr>
      <w:color w:val="000000"/>
      <w:lang w:val="en-GB" w:eastAsia="ja-JP"/>
    </w:rPr>
  </w:style>
  <w:style w:type="character" w:styleId="Strong">
    <w:name w:val="Strong"/>
    <w:uiPriority w:val="22"/>
    <w:qFormat/>
    <w:rsid w:val="004B2961"/>
    <w:rPr>
      <w:b/>
      <w:bCs/>
    </w:rPr>
  </w:style>
  <w:style w:type="character" w:customStyle="1" w:styleId="normaltextrun">
    <w:name w:val="normaltextrun"/>
    <w:basedOn w:val="DefaultParagraphFont"/>
    <w:rsid w:val="004B2961"/>
  </w:style>
  <w:style w:type="character" w:styleId="UnresolvedMention">
    <w:name w:val="Unresolved Mention"/>
    <w:basedOn w:val="DefaultParagraphFont"/>
    <w:uiPriority w:val="99"/>
    <w:semiHidden/>
    <w:unhideWhenUsed/>
    <w:rsid w:val="00F628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65_Hyderabad_2024-10/Docs/S2-2409600.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3</Pages>
  <Words>1267</Words>
  <Characters>7222</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Apple</cp:lastModifiedBy>
  <cp:revision>17</cp:revision>
  <cp:lastPrinted>2018-08-14T09:59:00Z</cp:lastPrinted>
  <dcterms:created xsi:type="dcterms:W3CDTF">2024-10-01T09:11:00Z</dcterms:created>
  <dcterms:modified xsi:type="dcterms:W3CDTF">2024-10-04T20:44:00Z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